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49" w:rsidRPr="00931949" w:rsidRDefault="00931949" w:rsidP="00931949">
      <w:pPr>
        <w:ind w:left="1134" w:right="1134"/>
        <w:jc w:val="center"/>
        <w:rPr>
          <w:rFonts w:ascii="Arial" w:eastAsiaTheme="minorEastAsia" w:hAnsi="Arial" w:cs="Arial"/>
          <w:b/>
          <w:bCs/>
          <w:caps/>
          <w:sz w:val="24"/>
          <w:szCs w:val="24"/>
          <w:lang w:eastAsia="ru-RU"/>
        </w:rPr>
      </w:pPr>
      <w:r w:rsidRPr="00931949">
        <w:rPr>
          <w:rFonts w:ascii="Arial" w:eastAsiaTheme="minorEastAsia" w:hAnsi="Arial" w:cs="Arial"/>
          <w:b/>
          <w:bCs/>
          <w:caps/>
          <w:sz w:val="24"/>
          <w:szCs w:val="24"/>
          <w:lang w:eastAsia="ru-RU"/>
        </w:rPr>
        <w:t>УКАЗ ПРЕЗИДЕНТА КЫРГЫЗСКОЙ РЕСПУБЛИКИ</w:t>
      </w:r>
    </w:p>
    <w:p w:rsidR="00931949" w:rsidRPr="00931949" w:rsidRDefault="00931949" w:rsidP="00931949">
      <w:pPr>
        <w:spacing w:before="200"/>
        <w:jc w:val="center"/>
        <w:rPr>
          <w:rFonts w:ascii="Arial" w:eastAsiaTheme="minorEastAsia" w:hAnsi="Arial" w:cs="Arial"/>
          <w:i/>
          <w:iCs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>г</w:t>
      </w:r>
      <w:proofErr w:type="gramStart"/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>.Б</w:t>
      </w:r>
      <w:proofErr w:type="gramEnd"/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>ишкек, от 22 мая 2013 года УП N 109</w:t>
      </w:r>
    </w:p>
    <w:p w:rsidR="00931949" w:rsidRPr="00931949" w:rsidRDefault="00931949" w:rsidP="00931949">
      <w:pPr>
        <w:spacing w:before="400" w:after="400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319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О мерах по совершенствованию избирательной системы </w:t>
      </w:r>
      <w:proofErr w:type="spellStart"/>
      <w:r w:rsidRPr="009319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Республики</w:t>
      </w:r>
    </w:p>
    <w:p w:rsidR="00931949" w:rsidRPr="00931949" w:rsidRDefault="00931949" w:rsidP="00931949">
      <w:pPr>
        <w:ind w:left="1134" w:right="1134"/>
        <w:jc w:val="center"/>
        <w:rPr>
          <w:rFonts w:ascii="Arial" w:eastAsiaTheme="minorEastAsia" w:hAnsi="Arial" w:cs="Arial"/>
          <w:i/>
          <w:iCs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 xml:space="preserve">(В редакции Указа Президента КР от </w:t>
      </w:r>
      <w:hyperlink r:id="rId4" w:history="1">
        <w:r w:rsidRPr="00931949">
          <w:rPr>
            <w:rFonts w:ascii="Arial" w:eastAsiaTheme="minorEastAsia" w:hAnsi="Arial" w:cs="Arial"/>
            <w:i/>
            <w:iCs/>
            <w:color w:val="000000"/>
            <w:sz w:val="20"/>
            <w:szCs w:val="20"/>
            <w:lang w:eastAsia="ru-RU"/>
          </w:rPr>
          <w:t>11 декабря 2015 года УП № 276</w:t>
        </w:r>
      </w:hyperlink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>)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Во исполнение решения Национального совета по устойчивому развитию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от 14 мая 2013 года по реализации пункта 2.4 </w:t>
      </w:r>
      <w:hyperlink r:id="rId5" w:anchor="g2" w:history="1">
        <w:r w:rsidRPr="00931949">
          <w:rPr>
            <w:rFonts w:ascii="Arial" w:eastAsiaTheme="minorEastAsia" w:hAnsi="Arial" w:cs="Arial"/>
            <w:color w:val="000000"/>
            <w:sz w:val="20"/>
            <w:szCs w:val="20"/>
            <w:lang w:eastAsia="ru-RU"/>
          </w:rPr>
          <w:t>главы 2</w:t>
        </w:r>
      </w:hyperlink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Национальной стратегии устойчивого развития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на период 2013-2017 годы, утвержденной </w:t>
      </w:r>
      <w:hyperlink r:id="rId6" w:history="1">
        <w:r w:rsidRPr="00931949">
          <w:rPr>
            <w:rFonts w:ascii="Arial" w:eastAsiaTheme="minorEastAsia" w:hAnsi="Arial" w:cs="Arial"/>
            <w:color w:val="000000"/>
            <w:sz w:val="20"/>
            <w:szCs w:val="20"/>
            <w:lang w:eastAsia="ru-RU"/>
          </w:rPr>
          <w:t>Указом</w:t>
        </w:r>
      </w:hyperlink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Президента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"О Национальной стратегии устойчивого развития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на период 2013-2017 годы" от 21 января 2013 года, в целях совершенствования избирательного процесса и обеспечения честных</w:t>
      </w:r>
      <w:proofErr w:type="gram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и прозрачных парламентских 2015 года и последующих выборов постановляю: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1. Утвердить </w:t>
      </w:r>
      <w:hyperlink r:id="rId7" w:history="1">
        <w:r w:rsidRPr="00931949">
          <w:rPr>
            <w:rFonts w:ascii="Arial" w:eastAsiaTheme="minorEastAsia" w:hAnsi="Arial" w:cs="Arial"/>
            <w:color w:val="000000"/>
            <w:sz w:val="20"/>
            <w:szCs w:val="20"/>
            <w:lang w:eastAsia="ru-RU"/>
          </w:rPr>
          <w:t>состав</w:t>
        </w:r>
      </w:hyperlink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рабочей группы по совершенствованию избирательной системы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(далее - рабочая группа) согласно приложению к настоящему Указу.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2. Рабочей группе на основе широкого обсуждения со всеми заинтересованными государственными органами, политическими партиями и организациями гражданского общества до 1 марта 2016 года разработать и внести Национальному совету по устойчивому развитию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предложения </w:t>
      </w:r>
      <w:proofErr w:type="gram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по</w:t>
      </w:r>
      <w:proofErr w:type="gram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: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1) имплементации инновационных достижений, апробированных на выборах депутатов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Жогорку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Кенеша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в октябре 2015 года, в процесс выборов депутатов местных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кенешей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с соответствующими изменениями в </w:t>
      </w:r>
      <w:hyperlink r:id="rId8" w:history="1">
        <w:r w:rsidRPr="00931949">
          <w:rPr>
            <w:rFonts w:ascii="Arial" w:eastAsiaTheme="minorEastAsia" w:hAnsi="Arial" w:cs="Arial"/>
            <w:color w:val="000000"/>
            <w:sz w:val="20"/>
            <w:szCs w:val="20"/>
            <w:lang w:eastAsia="ru-RU"/>
          </w:rPr>
          <w:t>Закон</w:t>
        </w:r>
      </w:hyperlink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"О выборах депутатов местных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кенешей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";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2) совершенствованию </w:t>
      </w:r>
      <w:hyperlink r:id="rId9" w:history="1">
        <w:r w:rsidRPr="00931949">
          <w:rPr>
            <w:rFonts w:ascii="Arial" w:eastAsiaTheme="minorEastAsia" w:hAnsi="Arial" w:cs="Arial"/>
            <w:color w:val="000000"/>
            <w:sz w:val="20"/>
            <w:szCs w:val="20"/>
            <w:lang w:eastAsia="ru-RU"/>
          </w:rPr>
          <w:t>конституционного Закона</w:t>
        </w:r>
      </w:hyperlink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"О выборах Президента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и депутатов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Жогорку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Кенеша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Республики", направленные на исключение недостатков, выявленных в ходе выборов депутатов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Жогорку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Кенеша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Республики, </w:t>
      </w:r>
      <w:r w:rsidRPr="00931949">
        <w:rPr>
          <w:rFonts w:ascii="Arial" w:eastAsiaTheme="minorEastAsia" w:hAnsi="Arial" w:cs="Arial"/>
          <w:b/>
          <w:i/>
          <w:sz w:val="20"/>
          <w:szCs w:val="20"/>
          <w:lang w:eastAsia="ru-RU"/>
        </w:rPr>
        <w:t xml:space="preserve">в особенности в части законодательного обеспечения гарантий </w:t>
      </w:r>
      <w:proofErr w:type="spellStart"/>
      <w:r w:rsidRPr="00931949">
        <w:rPr>
          <w:rFonts w:ascii="Arial" w:eastAsiaTheme="minorEastAsia" w:hAnsi="Arial" w:cs="Arial"/>
          <w:b/>
          <w:i/>
          <w:sz w:val="20"/>
          <w:szCs w:val="20"/>
          <w:lang w:eastAsia="ru-RU"/>
        </w:rPr>
        <w:t>гендерных</w:t>
      </w:r>
      <w:proofErr w:type="spellEnd"/>
      <w:r w:rsidRPr="00931949">
        <w:rPr>
          <w:rFonts w:ascii="Arial" w:eastAsiaTheme="minorEastAsia" w:hAnsi="Arial" w:cs="Arial"/>
          <w:b/>
          <w:i/>
          <w:sz w:val="20"/>
          <w:szCs w:val="20"/>
          <w:lang w:eastAsia="ru-RU"/>
        </w:rPr>
        <w:t>, этнических и других квот в окончательных списках депутатов</w:t>
      </w:r>
      <w:r w:rsidRPr="00931949">
        <w:rPr>
          <w:rFonts w:ascii="Arial" w:eastAsiaTheme="minorEastAsia" w:hAnsi="Arial" w:cs="Arial"/>
          <w:sz w:val="20"/>
          <w:szCs w:val="20"/>
          <w:lang w:eastAsia="ru-RU"/>
        </w:rPr>
        <w:t>;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b/>
          <w:i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3) принятию других мер законодательного, организационного и иного характера, направленных на качественное улучшение процессов выборов и </w:t>
      </w:r>
      <w:r w:rsidRPr="00931949">
        <w:rPr>
          <w:rFonts w:ascii="Arial" w:eastAsiaTheme="minorEastAsia" w:hAnsi="Arial" w:cs="Arial"/>
          <w:b/>
          <w:i/>
          <w:sz w:val="20"/>
          <w:szCs w:val="20"/>
          <w:lang w:eastAsia="ru-RU"/>
        </w:rPr>
        <w:t>реальное обеспечение прав граждан избирать и быть избранными.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i/>
          <w:iCs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 xml:space="preserve">(В редакции Указа Президента КР от </w:t>
      </w:r>
      <w:hyperlink r:id="rId10" w:history="1">
        <w:r w:rsidRPr="00931949">
          <w:rPr>
            <w:rFonts w:ascii="Arial" w:eastAsiaTheme="minorEastAsia" w:hAnsi="Arial" w:cs="Arial"/>
            <w:i/>
            <w:iCs/>
            <w:color w:val="000000"/>
            <w:sz w:val="20"/>
            <w:szCs w:val="20"/>
            <w:lang w:eastAsia="ru-RU"/>
          </w:rPr>
          <w:t>11 декабря 2015 года УП № 276</w:t>
        </w:r>
      </w:hyperlink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>)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i/>
          <w:iCs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 xml:space="preserve">3. (Утратил силу в соответствии с </w:t>
      </w:r>
      <w:hyperlink r:id="rId11" w:history="1">
        <w:r w:rsidRPr="00931949">
          <w:rPr>
            <w:rFonts w:ascii="Arial" w:eastAsiaTheme="minorEastAsia" w:hAnsi="Arial" w:cs="Arial"/>
            <w:i/>
            <w:iCs/>
            <w:color w:val="000000"/>
            <w:sz w:val="20"/>
            <w:szCs w:val="20"/>
            <w:lang w:eastAsia="ru-RU"/>
          </w:rPr>
          <w:t>Указом</w:t>
        </w:r>
      </w:hyperlink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 xml:space="preserve"> Президента КР от 11 декабря 2015 года УП № 276)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4. Правительству </w:t>
      </w:r>
      <w:proofErr w:type="spell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Республики разработать и реализовать меры по дальнейшему совершенствованию единого государственного регистра населения (ЕГРН) и его интеграции с другими базами данных, широкому и эффективному использованию в сфере государственного управления и оказания государственных услуг населению.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i/>
          <w:iCs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 xml:space="preserve">(В редакции Указа Президента КР от </w:t>
      </w:r>
      <w:hyperlink r:id="rId12" w:history="1">
        <w:r w:rsidRPr="00931949">
          <w:rPr>
            <w:rFonts w:ascii="Arial" w:eastAsiaTheme="minorEastAsia" w:hAnsi="Arial" w:cs="Arial"/>
            <w:i/>
            <w:iCs/>
            <w:color w:val="000000"/>
            <w:sz w:val="20"/>
            <w:szCs w:val="20"/>
            <w:lang w:eastAsia="ru-RU"/>
          </w:rPr>
          <w:t>11 декабря 2015 года УП № 276</w:t>
        </w:r>
      </w:hyperlink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>)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i/>
          <w:iCs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 xml:space="preserve">5. (Утратил силу в соответствии с </w:t>
      </w:r>
      <w:hyperlink r:id="rId13" w:history="1">
        <w:r w:rsidRPr="00931949">
          <w:rPr>
            <w:rFonts w:ascii="Arial" w:eastAsiaTheme="minorEastAsia" w:hAnsi="Arial" w:cs="Arial"/>
            <w:i/>
            <w:iCs/>
            <w:color w:val="000000"/>
            <w:sz w:val="20"/>
            <w:szCs w:val="20"/>
            <w:lang w:eastAsia="ru-RU"/>
          </w:rPr>
          <w:t>Указом</w:t>
        </w:r>
      </w:hyperlink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 xml:space="preserve"> Президента КР от 11 декабря 2015 года УП № 276)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sz w:val="20"/>
          <w:szCs w:val="20"/>
          <w:lang w:eastAsia="ru-RU"/>
        </w:rPr>
        <w:t>6. Установить, что рабочая группа вправе привлекать к своей деятельности неправительственные, международные организации, экспертов, специалистов государственных органов и органов местного самоуправления; запрашивать и получать от них информацию и сведения, необходимые для реализации поставленных задач; организовывать конференции, круглые столы и другие мероприятия по обсуждению рассматриваемых вопросов.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7. </w:t>
      </w:r>
      <w:proofErr w:type="gramStart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Контроль за</w:t>
      </w:r>
      <w:proofErr w:type="gramEnd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 xml:space="preserve"> исполнением настоящего Указа оставляю за собой.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sz w:val="20"/>
          <w:szCs w:val="20"/>
          <w:lang w:eastAsia="ru-RU"/>
        </w:rPr>
        <w:t>8. Настоящий Указ вступает в силу со дня официального опубликования.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i/>
          <w:iCs/>
          <w:color w:val="006600"/>
          <w:sz w:val="20"/>
          <w:szCs w:val="20"/>
          <w:lang w:eastAsia="ru-RU"/>
        </w:rPr>
      </w:pPr>
      <w:proofErr w:type="gramStart"/>
      <w:r w:rsidRPr="00931949">
        <w:rPr>
          <w:rFonts w:ascii="Arial" w:eastAsiaTheme="minorEastAsia" w:hAnsi="Arial" w:cs="Arial"/>
          <w:i/>
          <w:iCs/>
          <w:color w:val="006600"/>
          <w:sz w:val="20"/>
          <w:szCs w:val="20"/>
          <w:lang w:eastAsia="ru-RU"/>
        </w:rPr>
        <w:lastRenderedPageBreak/>
        <w:t>Опубликован</w:t>
      </w:r>
      <w:proofErr w:type="gramEnd"/>
      <w:r w:rsidRPr="00931949">
        <w:rPr>
          <w:rFonts w:ascii="Arial" w:eastAsiaTheme="minorEastAsia" w:hAnsi="Arial" w:cs="Arial"/>
          <w:i/>
          <w:iCs/>
          <w:color w:val="006600"/>
          <w:sz w:val="20"/>
          <w:szCs w:val="20"/>
          <w:lang w:eastAsia="ru-RU"/>
        </w:rPr>
        <w:t xml:space="preserve"> в газете "</w:t>
      </w:r>
      <w:proofErr w:type="spellStart"/>
      <w:r w:rsidRPr="00931949">
        <w:rPr>
          <w:rFonts w:ascii="Arial" w:eastAsiaTheme="minorEastAsia" w:hAnsi="Arial" w:cs="Arial"/>
          <w:i/>
          <w:iCs/>
          <w:color w:val="006600"/>
          <w:sz w:val="20"/>
          <w:szCs w:val="20"/>
          <w:lang w:eastAsia="ru-RU"/>
        </w:rPr>
        <w:t>Эркин</w:t>
      </w:r>
      <w:proofErr w:type="spellEnd"/>
      <w:r w:rsidRPr="00931949">
        <w:rPr>
          <w:rFonts w:ascii="Arial" w:eastAsiaTheme="minorEastAsia" w:hAnsi="Arial" w:cs="Arial"/>
          <w:i/>
          <w:iCs/>
          <w:color w:val="006600"/>
          <w:sz w:val="20"/>
          <w:szCs w:val="20"/>
          <w:lang w:eastAsia="ru-RU"/>
        </w:rPr>
        <w:t xml:space="preserve"> </w:t>
      </w:r>
      <w:proofErr w:type="spellStart"/>
      <w:r w:rsidRPr="00931949">
        <w:rPr>
          <w:rFonts w:ascii="Arial" w:eastAsiaTheme="minorEastAsia" w:hAnsi="Arial" w:cs="Arial"/>
          <w:i/>
          <w:iCs/>
          <w:color w:val="006600"/>
          <w:sz w:val="20"/>
          <w:szCs w:val="20"/>
          <w:lang w:eastAsia="ru-RU"/>
        </w:rPr>
        <w:t>Тоо</w:t>
      </w:r>
      <w:proofErr w:type="spellEnd"/>
      <w:r w:rsidRPr="00931949">
        <w:rPr>
          <w:rFonts w:ascii="Arial" w:eastAsiaTheme="minorEastAsia" w:hAnsi="Arial" w:cs="Arial"/>
          <w:i/>
          <w:iCs/>
          <w:color w:val="006600"/>
          <w:sz w:val="20"/>
          <w:szCs w:val="20"/>
          <w:lang w:eastAsia="ru-RU"/>
        </w:rPr>
        <w:t>" от 24 мая 2013 года N 42</w:t>
      </w:r>
    </w:p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10"/>
        <w:gridCol w:w="3009"/>
        <w:gridCol w:w="3511"/>
      </w:tblGrid>
      <w:tr w:rsidR="00931949" w:rsidRPr="00931949" w:rsidTr="00931949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Президент </w:t>
            </w:r>
            <w:proofErr w:type="spellStart"/>
            <w:r w:rsidRPr="0093194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А.Атамбаев</w:t>
            </w:r>
            <w:proofErr w:type="spellEnd"/>
          </w:p>
        </w:tc>
      </w:tr>
    </w:tbl>
    <w:p w:rsidR="00931949" w:rsidRPr="00931949" w:rsidRDefault="00931949" w:rsidP="00931949">
      <w:pPr>
        <w:spacing w:after="60"/>
        <w:ind w:firstLine="567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bookmarkStart w:id="0" w:name="pr"/>
      <w:bookmarkEnd w:id="0"/>
      <w:r w:rsidRPr="00931949">
        <w:rPr>
          <w:rFonts w:ascii="Arial" w:eastAsiaTheme="minorEastAsia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10"/>
        <w:gridCol w:w="3009"/>
        <w:gridCol w:w="3511"/>
      </w:tblGrid>
      <w:tr w:rsidR="00931949" w:rsidRPr="00931949" w:rsidTr="00931949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949" w:rsidRPr="00931949" w:rsidRDefault="00931949" w:rsidP="00931949">
            <w:pPr>
              <w:spacing w:after="60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Приложение</w:t>
            </w:r>
          </w:p>
        </w:tc>
      </w:tr>
    </w:tbl>
    <w:p w:rsidR="00931949" w:rsidRPr="00931949" w:rsidRDefault="00931949" w:rsidP="00931949">
      <w:pPr>
        <w:spacing w:before="400" w:after="400"/>
        <w:ind w:left="1134" w:right="1134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319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СОСТАВ</w:t>
      </w:r>
      <w:r w:rsidRPr="009319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  <w:t xml:space="preserve">рабочей группы по совершенствованию избирательной системы </w:t>
      </w:r>
      <w:proofErr w:type="spellStart"/>
      <w:r w:rsidRPr="009319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Кыргызской</w:t>
      </w:r>
      <w:proofErr w:type="spellEnd"/>
      <w:r w:rsidRPr="009319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Республики</w:t>
      </w:r>
    </w:p>
    <w:p w:rsidR="00931949" w:rsidRPr="00931949" w:rsidRDefault="00931949" w:rsidP="00931949">
      <w:pPr>
        <w:ind w:left="1134" w:right="1134"/>
        <w:jc w:val="center"/>
        <w:rPr>
          <w:rFonts w:ascii="Arial" w:eastAsiaTheme="minorEastAsia" w:hAnsi="Arial" w:cs="Arial"/>
          <w:i/>
          <w:iCs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 xml:space="preserve">(В редакции Указа Президента КР от </w:t>
      </w:r>
      <w:hyperlink r:id="rId14" w:history="1">
        <w:r w:rsidRPr="00931949">
          <w:rPr>
            <w:rFonts w:ascii="Arial" w:eastAsiaTheme="minorEastAsia" w:hAnsi="Arial" w:cs="Arial"/>
            <w:i/>
            <w:iCs/>
            <w:color w:val="000000"/>
            <w:sz w:val="20"/>
            <w:szCs w:val="20"/>
            <w:lang w:eastAsia="ru-RU"/>
          </w:rPr>
          <w:t>11 декабря 2015 года УП № 276</w:t>
        </w:r>
      </w:hyperlink>
      <w:r w:rsidRPr="00931949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3"/>
        <w:gridCol w:w="283"/>
        <w:gridCol w:w="5196"/>
      </w:tblGrid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Ниязов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Фарид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Абилезимович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Руководитель Аппарата Президента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 - руководитель рабочей группы;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Шайлдабекова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Нуржан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Кармабековна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заместитель Руководителя Аппарата Президента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Скрипкина Галина Анатольевна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Жогорку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Кенеша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Республики, фракция "СДПК";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Бекешев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Дастан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Далабайевич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Жогорку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Кенеша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Республики, фракция "СДПК";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Жеенчороев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Мирлан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Канатбекович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Жогорку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Кенеша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Республики, фракция "Республика -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Ата-Журт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Кыдыралиев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Умбеталы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Токторалиевич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Жогорку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Кенеша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Республики, фракция "Республика -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Ата-Журт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Джумабеков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Дастанбек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Артисбекович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Жогорку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Кенеша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Республики, фракция "Кыргызстан";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Исакунова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Таалайкул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Базаркуловна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Жогорку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Кенеша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Республики, фракция "Кыргызстан";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Бакиров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Мирлан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Исакбекович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Жогорку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Кенеша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Республики, фракция "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Онугуу-Прогресс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Жунус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Алтынбек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Жогорку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Кенеша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Республики, фракция "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Онугуу-Прогресс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Акматов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Алмасбек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Жумабекович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Жогорку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Кенеша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Республики, фракция "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Бир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Бол";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Мамытова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Лунара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Улукбековна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Жогорку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Кенеша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Республики, фракция "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Бир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Бол";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Шыкмаматов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Алмамбет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Насырканович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Жогорку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Кенеша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Республики, фракция "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Ата-Мекен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Исмаилов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Анарбек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Касымович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заместитель полномочного представителя Президента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 в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Жогорку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Кенеше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 - заведующий отделом правового обеспечения Аппарата Президента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Джаманкулов Марат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Тургунбаевич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заведующий отделом экспертизы и правового обеспечения Аппарата Правительства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Мельникова Маргарита Павловна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судья Верховного суда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Мурсабеков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Исламбек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Муратбекович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политическая партия "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Бутун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Кыргызстан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Эмгек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Куренкеев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Турсунбек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Джусупбекович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политическая партия "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Мекен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Ынтымагы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Турусбекова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Гульдана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Сабырбековна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политическая партия "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Замандаш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Абдраимов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Туйгунаалы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Дуйшеналиевич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председатель Центральной комиссии по выборам и проведению референдумов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Бекбасаров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Рашид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Бердибаевич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член Центральной комиссии по выборам и проведению референдумов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Джурабаева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Гульнар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Курашбековна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член Центральной комиссии по выборам и проведению референдумов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Мамбеталиева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Жылдыз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Жээнбаевна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министр юстиции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Сарпашев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Тайырбек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Дуйшекеевич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председатель Государственной регистрационной службы при Правительстве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Бакетаев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Алмаз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Кушбекович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заместитель министра финансов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 - директор Центрального казначейства;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Лисниченко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Бишкекского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кенеша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Усупбекова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Айнура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Максатбековна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Ассоциация "Таза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Шайлоо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Ошурахунова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Динара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Мажановна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ОО "Коалиция за демократию и гражданское общество";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Кочорбаева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Зульфия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Ирисовна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Агентство социальных технологий;</w:t>
            </w:r>
          </w:p>
        </w:tc>
      </w:tr>
      <w:tr w:rsidR="00931949" w:rsidRPr="00931949" w:rsidTr="00931949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Бит-Аврагим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Артур Яковлевич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949" w:rsidRPr="00931949" w:rsidRDefault="00931949" w:rsidP="00931949">
            <w:pPr>
              <w:spacing w:after="6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старший прокурор управления по надзору за законностью деятельности органов исполнительной власти и местного самоуправления Генеральной прокуратуры </w:t>
            </w:r>
            <w:proofErr w:type="spellStart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93194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Республики.</w:t>
            </w:r>
          </w:p>
        </w:tc>
      </w:tr>
    </w:tbl>
    <w:p w:rsidR="00931949" w:rsidRPr="00931949" w:rsidRDefault="00931949" w:rsidP="00931949">
      <w:pPr>
        <w:spacing w:after="6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31949">
        <w:rPr>
          <w:rFonts w:ascii="Arial" w:eastAsiaTheme="minorEastAsia" w:hAnsi="Arial" w:cs="Arial"/>
          <w:sz w:val="20"/>
          <w:szCs w:val="20"/>
          <w:lang w:eastAsia="ru-RU"/>
        </w:rPr>
        <w:t> </w:t>
      </w:r>
    </w:p>
    <w:p w:rsidR="00E45ABE" w:rsidRDefault="00E45ABE"/>
    <w:sectPr w:rsidR="00E45ABE" w:rsidSect="00E4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31949"/>
    <w:rsid w:val="0028236F"/>
    <w:rsid w:val="00472357"/>
    <w:rsid w:val="00931949"/>
    <w:rsid w:val="00C01B7F"/>
    <w:rsid w:val="00E45ABE"/>
    <w:rsid w:val="00FB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BE"/>
  </w:style>
  <w:style w:type="paragraph" w:styleId="1">
    <w:name w:val="heading 1"/>
    <w:basedOn w:val="a"/>
    <w:next w:val="a"/>
    <w:link w:val="10"/>
    <w:uiPriority w:val="9"/>
    <w:qFormat/>
    <w:rsid w:val="0028236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36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8236F"/>
    <w:pPr>
      <w:spacing w:before="120" w:after="120" w:line="240" w:lineRule="auto"/>
      <w:outlineLvl w:val="2"/>
    </w:pPr>
    <w:rPr>
      <w:rFonts w:asciiTheme="majorHAnsi" w:eastAsia="Times New Roman" w:hAnsiTheme="majorHAnsi" w:cs="Times New Roman"/>
      <w:b/>
      <w:bCs/>
      <w:i/>
      <w:color w:val="365F91" w:themeColor="accent1" w:themeShade="BF"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36F"/>
    <w:rPr>
      <w:rFonts w:ascii="Cambria" w:eastAsiaTheme="majorEastAsia" w:hAnsi="Cambria" w:cstheme="majorBidi"/>
      <w:b/>
      <w:bCs/>
      <w:color w:val="365F91" w:themeColor="accent1" w:themeShade="BF"/>
      <w:sz w:val="26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82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8236F"/>
    <w:rPr>
      <w:rFonts w:asciiTheme="majorHAnsi" w:eastAsia="Times New Roman" w:hAnsiTheme="majorHAnsi" w:cs="Times New Roman"/>
      <w:b/>
      <w:bCs/>
      <w:i/>
      <w:color w:val="365F91" w:themeColor="accent1" w:themeShade="BF"/>
      <w:sz w:val="24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1949"/>
    <w:rPr>
      <w:color w:val="0000FF"/>
      <w:u w:val="single"/>
    </w:rPr>
  </w:style>
  <w:style w:type="paragraph" w:customStyle="1" w:styleId="tkRedakcijaSpisok">
    <w:name w:val="_В редакции список (tkRedakcijaSpisok)"/>
    <w:basedOn w:val="a"/>
    <w:rsid w:val="00931949"/>
    <w:pPr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931949"/>
    <w:pPr>
      <w:spacing w:after="60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931949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931949"/>
    <w:pPr>
      <w:spacing w:after="60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31949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931949"/>
    <w:pPr>
      <w:spacing w:after="6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931949"/>
    <w:pPr>
      <w:spacing w:before="20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31949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931949"/>
    <w:pPr>
      <w:spacing w:after="6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931949"/>
    <w:pPr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F:\DOCUMENTS\Zulya-documents\2013\&#1080;&#1079;&#1073;.&#1079;&#1072;&#1082;&#1086;&#1085;&#1086;&#1076;&#1072;&#1090;&#1077;&#1083;&#1100;&#1089;&#1090;&#1074;&#1086;\2015\&#1059;&#1082;&#1072;&#1079;_&#1055;&#1088;&#1077;&#1079;&#1080;&#1076;&#1077;&#1085;&#1090;&#1072;_&#1050;&#1056;_&#1086;&#1090;_22_&#1084;&#1072;&#1103;_2013_&#1075;&#1086;&#1076;&#1072;_&#1059;&#1055;_N_109.mht!toktom://db/106725" TargetMode="External"/><Relationship Id="rId13" Type="http://schemas.openxmlformats.org/officeDocument/2006/relationships/hyperlink" Target="mhtml:file://F:\DOCUMENTS\Zulya-documents\2013\&#1080;&#1079;&#1073;.&#1079;&#1072;&#1082;&#1086;&#1085;&#1086;&#1076;&#1072;&#1090;&#1077;&#1083;&#1100;&#1089;&#1090;&#1074;&#1086;\2015\&#1059;&#1082;&#1072;&#1079;_&#1055;&#1088;&#1077;&#1079;&#1080;&#1076;&#1077;&#1085;&#1090;&#1072;_&#1050;&#1056;_&#1086;&#1090;_22_&#1084;&#1072;&#1103;_2013_&#1075;&#1086;&#1076;&#1072;_&#1059;&#1055;_N_109.mht!toktom://db/1333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DOCUMENTS\Zulya-documents\2013\&#1080;&#1079;&#1073;.&#1079;&#1072;&#1082;&#1086;&#1085;&#1086;&#1076;&#1072;&#1090;&#1077;&#1083;&#1100;&#1089;&#1090;&#1074;&#1086;\2015\&#1059;&#1082;&#1072;&#1079;_&#1055;&#1088;&#1077;&#1079;&#1080;&#1076;&#1077;&#1085;&#1090;&#1072;_&#1050;&#1056;_&#1086;&#1090;_22_&#1084;&#1072;&#1103;_2013_&#1075;&#1086;&#1076;&#1072;_&#1059;&#1055;_N_109.mht" TargetMode="External"/><Relationship Id="rId12" Type="http://schemas.openxmlformats.org/officeDocument/2006/relationships/hyperlink" Target="mhtml:file://F:\DOCUMENTS\Zulya-documents\2013\&#1080;&#1079;&#1073;.&#1079;&#1072;&#1082;&#1086;&#1085;&#1086;&#1076;&#1072;&#1090;&#1077;&#1083;&#1100;&#1089;&#1090;&#1074;&#1086;\2015\&#1059;&#1082;&#1072;&#1079;_&#1055;&#1088;&#1077;&#1079;&#1080;&#1076;&#1077;&#1085;&#1090;&#1072;_&#1050;&#1056;_&#1086;&#1090;_22_&#1084;&#1072;&#1103;_2013_&#1075;&#1086;&#1076;&#1072;_&#1059;&#1055;_N_109.mht!toktom://db/13330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html:file://F:\DOCUMENTS\Zulya-documents\2013\&#1080;&#1079;&#1073;.&#1079;&#1072;&#1082;&#1086;&#1085;&#1086;&#1076;&#1072;&#1090;&#1077;&#1083;&#1100;&#1089;&#1090;&#1074;&#1086;\2015\&#1059;&#1082;&#1072;&#1079;_&#1055;&#1088;&#1077;&#1079;&#1080;&#1076;&#1077;&#1085;&#1090;&#1072;_&#1050;&#1056;_&#1086;&#1090;_22_&#1084;&#1072;&#1103;_2013_&#1075;&#1086;&#1076;&#1072;_&#1059;&#1055;_N_109.mht!toktom://db/117261" TargetMode="External"/><Relationship Id="rId11" Type="http://schemas.openxmlformats.org/officeDocument/2006/relationships/hyperlink" Target="mhtml:file://F:\DOCUMENTS\Zulya-documents\2013\&#1080;&#1079;&#1073;.&#1079;&#1072;&#1082;&#1086;&#1085;&#1086;&#1076;&#1072;&#1090;&#1077;&#1083;&#1100;&#1089;&#1090;&#1074;&#1086;\2015\&#1059;&#1082;&#1072;&#1079;_&#1055;&#1088;&#1077;&#1079;&#1080;&#1076;&#1077;&#1085;&#1090;&#1072;_&#1050;&#1056;_&#1086;&#1090;_22_&#1084;&#1072;&#1103;_2013_&#1075;&#1086;&#1076;&#1072;_&#1059;&#1055;_N_109.mht!toktom://db/133308" TargetMode="External"/><Relationship Id="rId5" Type="http://schemas.openxmlformats.org/officeDocument/2006/relationships/hyperlink" Target="mhtml:file://F:\DOCUMENTS\Zulya-documents\2013\&#1080;&#1079;&#1073;.&#1079;&#1072;&#1082;&#1086;&#1085;&#1086;&#1076;&#1072;&#1090;&#1077;&#1083;&#1100;&#1089;&#1090;&#1074;&#1086;\2015\&#1059;&#1082;&#1072;&#1079;_&#1055;&#1088;&#1077;&#1079;&#1080;&#1076;&#1077;&#1085;&#1090;&#1072;_&#1050;&#1056;_&#1086;&#1090;_22_&#1084;&#1072;&#1103;_2013_&#1075;&#1086;&#1076;&#1072;_&#1059;&#1055;_N_109.mht!toktom://db/117262" TargetMode="External"/><Relationship Id="rId15" Type="http://schemas.openxmlformats.org/officeDocument/2006/relationships/fontTable" Target="fontTable.xml"/><Relationship Id="rId10" Type="http://schemas.openxmlformats.org/officeDocument/2006/relationships/hyperlink" Target="mhtml:file://F:\DOCUMENTS\Zulya-documents\2013\&#1080;&#1079;&#1073;.&#1079;&#1072;&#1082;&#1086;&#1085;&#1086;&#1076;&#1072;&#1090;&#1077;&#1083;&#1100;&#1089;&#1090;&#1074;&#1086;\2015\&#1059;&#1082;&#1072;&#1079;_&#1055;&#1088;&#1077;&#1079;&#1080;&#1076;&#1077;&#1085;&#1090;&#1072;_&#1050;&#1056;_&#1086;&#1090;_22_&#1084;&#1072;&#1103;_2013_&#1075;&#1086;&#1076;&#1072;_&#1059;&#1055;_N_109.mht!toktom://db/133308" TargetMode="External"/><Relationship Id="rId4" Type="http://schemas.openxmlformats.org/officeDocument/2006/relationships/hyperlink" Target="mhtml:file://F:\DOCUMENTS\Zulya-documents\2013\&#1080;&#1079;&#1073;.&#1079;&#1072;&#1082;&#1086;&#1085;&#1086;&#1076;&#1072;&#1090;&#1077;&#1083;&#1100;&#1089;&#1090;&#1074;&#1086;\2015\&#1059;&#1082;&#1072;&#1079;_&#1055;&#1088;&#1077;&#1079;&#1080;&#1076;&#1077;&#1085;&#1090;&#1072;_&#1050;&#1056;_&#1086;&#1090;_22_&#1084;&#1072;&#1103;_2013_&#1075;&#1086;&#1076;&#1072;_&#1059;&#1055;_N_109.mht!toktom://db/133308" TargetMode="External"/><Relationship Id="rId9" Type="http://schemas.openxmlformats.org/officeDocument/2006/relationships/hyperlink" Target="mhtml:file://F:\DOCUMENTS\Zulya-documents\2013\&#1080;&#1079;&#1073;.&#1079;&#1072;&#1082;&#1086;&#1085;&#1086;&#1076;&#1072;&#1090;&#1077;&#1083;&#1100;&#1089;&#1090;&#1074;&#1086;\2015\&#1059;&#1082;&#1072;&#1079;_&#1055;&#1088;&#1077;&#1079;&#1080;&#1076;&#1077;&#1085;&#1090;&#1072;_&#1050;&#1056;_&#1086;&#1090;_22_&#1084;&#1072;&#1103;_2013_&#1075;&#1086;&#1076;&#1072;_&#1059;&#1055;_N_109.mht!toktom://db/106136" TargetMode="External"/><Relationship Id="rId14" Type="http://schemas.openxmlformats.org/officeDocument/2006/relationships/hyperlink" Target="mhtml:file://F:\DOCUMENTS\Zulya-documents\2013\&#1080;&#1079;&#1073;.&#1079;&#1072;&#1082;&#1086;&#1085;&#1086;&#1076;&#1072;&#1090;&#1077;&#1083;&#1100;&#1089;&#1090;&#1074;&#1086;\2015\&#1059;&#1082;&#1072;&#1079;_&#1055;&#1088;&#1077;&#1079;&#1080;&#1076;&#1077;&#1085;&#1090;&#1072;_&#1050;&#1056;_&#1086;&#1090;_22_&#1084;&#1072;&#1103;_2013_&#1075;&#1086;&#1076;&#1072;_&#1059;&#1055;_N_109.mht!toktom://db/133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7242</Characters>
  <Application>Microsoft Office Word</Application>
  <DocSecurity>0</DocSecurity>
  <Lines>60</Lines>
  <Paragraphs>16</Paragraphs>
  <ScaleCrop>false</ScaleCrop>
  <Company>RePack by SPecialiST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2017-03-09T03:25:00Z</dcterms:created>
  <dcterms:modified xsi:type="dcterms:W3CDTF">2017-03-09T03:25:00Z</dcterms:modified>
</cp:coreProperties>
</file>